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480" w:lineRule="auto"/>
        <w:jc w:val="center"/>
        <w:rPr>
          <w:rFonts w:ascii="彩虹小标宋" w:eastAsia="彩虹小标宋" w:cs="Times New Roman"/>
          <w:kern w:val="2"/>
          <w:sz w:val="36"/>
          <w:szCs w:val="36"/>
        </w:rPr>
      </w:pPr>
      <w:bookmarkStart w:id="0" w:name="_GoBack"/>
      <w:bookmarkEnd w:id="0"/>
      <w:r>
        <w:rPr>
          <w:rFonts w:hint="eastAsia" w:ascii="彩虹小标宋" w:eastAsia="彩虹小标宋" w:cs="Times New Roman"/>
          <w:kern w:val="2"/>
          <w:sz w:val="36"/>
          <w:szCs w:val="36"/>
        </w:rPr>
        <w:t>中国建设银行重庆市分行2019年度校园招聘公告</w:t>
      </w:r>
    </w:p>
    <w:p>
      <w:pPr>
        <w:pStyle w:val="5"/>
        <w:spacing w:line="480" w:lineRule="auto"/>
        <w:jc w:val="center"/>
        <w:rPr>
          <w:rFonts w:ascii="彩虹小标宋" w:eastAsia="彩虹小标宋" w:cs="Times New Roman"/>
          <w:kern w:val="2"/>
          <w:sz w:val="36"/>
          <w:szCs w:val="36"/>
        </w:rPr>
      </w:pPr>
    </w:p>
    <w:p>
      <w:pPr>
        <w:pStyle w:val="5"/>
        <w:numPr>
          <w:ilvl w:val="0"/>
          <w:numId w:val="1"/>
        </w:numPr>
        <w:spacing w:line="360" w:lineRule="auto"/>
        <w:rPr>
          <w:rFonts w:asciiTheme="minorEastAsia" w:hAnsiTheme="minorEastAsia" w:eastAsiaTheme="minorEastAsia"/>
          <w:b/>
          <w:sz w:val="32"/>
          <w:szCs w:val="32"/>
        </w:rPr>
      </w:pPr>
      <w:r>
        <w:rPr>
          <w:rFonts w:hint="eastAsia" w:asciiTheme="minorEastAsia" w:hAnsiTheme="minorEastAsia" w:eastAsiaTheme="minorEastAsia"/>
          <w:b/>
          <w:sz w:val="32"/>
          <w:szCs w:val="32"/>
        </w:rPr>
        <w:t>公司简介</w:t>
      </w:r>
    </w:p>
    <w:p>
      <w:pPr>
        <w:spacing w:before="156" w:beforeLines="50"/>
        <w:ind w:firstLine="627" w:firstLineChars="196"/>
        <w:rPr>
          <w:rFonts w:cs="宋体" w:asciiTheme="minorEastAsia" w:hAnsiTheme="minorEastAsia"/>
          <w:kern w:val="0"/>
          <w:sz w:val="32"/>
          <w:szCs w:val="32"/>
        </w:rPr>
      </w:pPr>
      <w:r>
        <w:rPr>
          <w:rFonts w:cs="宋体" w:asciiTheme="minorEastAsia" w:hAnsiTheme="minorEastAsia"/>
          <w:kern w:val="0"/>
          <w:sz w:val="32"/>
          <w:szCs w:val="32"/>
        </w:rPr>
        <w:t>1.</w:t>
      </w:r>
      <w:r>
        <w:rPr>
          <w:rFonts w:hint="eastAsia" w:cs="宋体" w:asciiTheme="minorEastAsia" w:hAnsiTheme="minorEastAsia"/>
          <w:kern w:val="0"/>
          <w:sz w:val="32"/>
          <w:szCs w:val="32"/>
        </w:rPr>
        <w:t>建行概况</w:t>
      </w:r>
    </w:p>
    <w:p>
      <w:pPr>
        <w:ind w:firstLine="640" w:firstLineChars="200"/>
        <w:rPr>
          <w:rFonts w:cs="宋体" w:asciiTheme="minorEastAsia" w:hAnsiTheme="minorEastAsia"/>
          <w:kern w:val="0"/>
          <w:sz w:val="32"/>
          <w:szCs w:val="32"/>
        </w:rPr>
      </w:pPr>
      <w:r>
        <w:rPr>
          <w:rFonts w:hint="eastAsia" w:cs="宋体" w:asciiTheme="minorEastAsia" w:hAnsiTheme="minorEastAsia"/>
          <w:kern w:val="0"/>
          <w:sz w:val="32"/>
          <w:szCs w:val="32"/>
        </w:rPr>
        <w:t>中国建设银行股份有限公司（以下简称建行）成立于</w:t>
      </w:r>
      <w:r>
        <w:rPr>
          <w:rFonts w:cs="宋体" w:asciiTheme="minorEastAsia" w:hAnsiTheme="minorEastAsia"/>
          <w:kern w:val="0"/>
          <w:sz w:val="32"/>
          <w:szCs w:val="32"/>
        </w:rPr>
        <w:t>1954</w:t>
      </w:r>
      <w:r>
        <w:rPr>
          <w:rFonts w:hint="eastAsia" w:cs="宋体" w:asciiTheme="minorEastAsia" w:hAnsiTheme="minorEastAsia"/>
          <w:kern w:val="0"/>
          <w:sz w:val="32"/>
          <w:szCs w:val="32"/>
        </w:rPr>
        <w:t>年</w:t>
      </w:r>
      <w:r>
        <w:rPr>
          <w:rFonts w:cs="宋体" w:asciiTheme="minorEastAsia" w:hAnsiTheme="minorEastAsia"/>
          <w:kern w:val="0"/>
          <w:sz w:val="32"/>
          <w:szCs w:val="32"/>
        </w:rPr>
        <w:t>10</w:t>
      </w:r>
      <w:r>
        <w:rPr>
          <w:rFonts w:hint="eastAsia" w:cs="宋体" w:asciiTheme="minorEastAsia" w:hAnsiTheme="minorEastAsia"/>
          <w:kern w:val="0"/>
          <w:sz w:val="32"/>
          <w:szCs w:val="32"/>
        </w:rPr>
        <w:t>月，是一家国内领先、国际知名的大型股份制商业银行，总部设在北京。建行于</w:t>
      </w:r>
      <w:r>
        <w:rPr>
          <w:rFonts w:cs="宋体" w:asciiTheme="minorEastAsia" w:hAnsiTheme="minorEastAsia"/>
          <w:kern w:val="0"/>
          <w:sz w:val="32"/>
          <w:szCs w:val="32"/>
        </w:rPr>
        <w:t>2005</w:t>
      </w:r>
      <w:r>
        <w:rPr>
          <w:rFonts w:hint="eastAsia" w:cs="宋体" w:asciiTheme="minorEastAsia" w:hAnsiTheme="minorEastAsia"/>
          <w:kern w:val="0"/>
          <w:sz w:val="32"/>
          <w:szCs w:val="32"/>
        </w:rPr>
        <w:t>年</w:t>
      </w:r>
      <w:r>
        <w:rPr>
          <w:rFonts w:cs="宋体" w:asciiTheme="minorEastAsia" w:hAnsiTheme="minorEastAsia"/>
          <w:kern w:val="0"/>
          <w:sz w:val="32"/>
          <w:szCs w:val="32"/>
        </w:rPr>
        <w:t>10</w:t>
      </w:r>
      <w:r>
        <w:rPr>
          <w:rFonts w:hint="eastAsia" w:cs="宋体" w:asciiTheme="minorEastAsia" w:hAnsiTheme="minorEastAsia"/>
          <w:kern w:val="0"/>
          <w:sz w:val="32"/>
          <w:szCs w:val="32"/>
        </w:rPr>
        <w:t>月在香港联合交易所挂牌上市（股票代码</w:t>
      </w:r>
      <w:r>
        <w:rPr>
          <w:rFonts w:cs="宋体" w:asciiTheme="minorEastAsia" w:hAnsiTheme="minorEastAsia"/>
          <w:kern w:val="0"/>
          <w:sz w:val="32"/>
          <w:szCs w:val="32"/>
        </w:rPr>
        <w:t>939</w:t>
      </w:r>
      <w:r>
        <w:rPr>
          <w:rFonts w:hint="eastAsia" w:cs="宋体" w:asciiTheme="minorEastAsia" w:hAnsiTheme="minorEastAsia"/>
          <w:kern w:val="0"/>
          <w:sz w:val="32"/>
          <w:szCs w:val="32"/>
        </w:rPr>
        <w:t>），于</w:t>
      </w:r>
      <w:r>
        <w:rPr>
          <w:rFonts w:cs="宋体" w:asciiTheme="minorEastAsia" w:hAnsiTheme="minorEastAsia"/>
          <w:kern w:val="0"/>
          <w:sz w:val="32"/>
          <w:szCs w:val="32"/>
        </w:rPr>
        <w:t>2007</w:t>
      </w:r>
      <w:r>
        <w:rPr>
          <w:rFonts w:hint="eastAsia" w:cs="宋体" w:asciiTheme="minorEastAsia" w:hAnsiTheme="minorEastAsia"/>
          <w:kern w:val="0"/>
          <w:sz w:val="32"/>
          <w:szCs w:val="32"/>
        </w:rPr>
        <w:t>年</w:t>
      </w:r>
      <w:r>
        <w:rPr>
          <w:rFonts w:cs="宋体" w:asciiTheme="minorEastAsia" w:hAnsiTheme="minorEastAsia"/>
          <w:kern w:val="0"/>
          <w:sz w:val="32"/>
          <w:szCs w:val="32"/>
        </w:rPr>
        <w:t>9</w:t>
      </w:r>
      <w:r>
        <w:rPr>
          <w:rFonts w:hint="eastAsia" w:cs="宋体" w:asciiTheme="minorEastAsia" w:hAnsiTheme="minorEastAsia"/>
          <w:kern w:val="0"/>
          <w:sz w:val="32"/>
          <w:szCs w:val="32"/>
        </w:rPr>
        <w:t>月在上海证券交易所挂牌上市（股票代码</w:t>
      </w:r>
      <w:r>
        <w:rPr>
          <w:rFonts w:cs="宋体" w:asciiTheme="minorEastAsia" w:hAnsiTheme="minorEastAsia"/>
          <w:kern w:val="0"/>
          <w:sz w:val="32"/>
          <w:szCs w:val="32"/>
        </w:rPr>
        <w:t>601939</w:t>
      </w:r>
      <w:r>
        <w:rPr>
          <w:rFonts w:hint="eastAsia" w:cs="宋体" w:asciiTheme="minorEastAsia" w:hAnsiTheme="minorEastAsia"/>
          <w:kern w:val="0"/>
          <w:sz w:val="32"/>
          <w:szCs w:val="32"/>
        </w:rPr>
        <w:t>）。</w:t>
      </w:r>
    </w:p>
    <w:p>
      <w:pPr>
        <w:ind w:firstLine="640" w:firstLineChars="200"/>
        <w:rPr>
          <w:rFonts w:cs="宋体" w:asciiTheme="minorEastAsia" w:hAnsiTheme="minorEastAsia"/>
          <w:kern w:val="0"/>
          <w:sz w:val="32"/>
          <w:szCs w:val="32"/>
        </w:rPr>
      </w:pPr>
      <w:r>
        <w:rPr>
          <w:rFonts w:hint="eastAsia" w:cs="宋体" w:asciiTheme="minorEastAsia" w:hAnsiTheme="minorEastAsia"/>
          <w:kern w:val="0"/>
          <w:sz w:val="32"/>
          <w:szCs w:val="32"/>
        </w:rPr>
        <w:t>建行在中国内地设有分支机构14920个，服务亿万个人客户和公司客户，与中国经济战略性行业的主导企业和大量高端客户保持密切合作关系；在香港、新加坡、法兰克福、东京、首尔、纽约、悉尼等设有海外分行，拥有建行亚洲、建银国际、建信租赁、建信信托、建信人寿、建信期货、中德住房储蓄银行等多家子公司。</w:t>
      </w:r>
    </w:p>
    <w:p>
      <w:pPr>
        <w:spacing w:before="156" w:beforeLines="50"/>
        <w:ind w:firstLine="627" w:firstLineChars="196"/>
        <w:rPr>
          <w:rFonts w:cs="宋体" w:asciiTheme="minorEastAsia" w:hAnsiTheme="minorEastAsia"/>
          <w:kern w:val="0"/>
          <w:sz w:val="32"/>
          <w:szCs w:val="32"/>
        </w:rPr>
      </w:pPr>
      <w:r>
        <w:rPr>
          <w:rFonts w:cs="宋体" w:asciiTheme="minorEastAsia" w:hAnsiTheme="minorEastAsia"/>
          <w:kern w:val="0"/>
          <w:sz w:val="32"/>
          <w:szCs w:val="32"/>
        </w:rPr>
        <w:t>2.</w:t>
      </w:r>
      <w:r>
        <w:rPr>
          <w:rFonts w:hint="eastAsia" w:cs="宋体" w:asciiTheme="minorEastAsia" w:hAnsiTheme="minorEastAsia"/>
          <w:kern w:val="0"/>
          <w:sz w:val="32"/>
          <w:szCs w:val="32"/>
        </w:rPr>
        <w:t>建行重庆市分行简介</w:t>
      </w:r>
    </w:p>
    <w:p>
      <w:pPr>
        <w:ind w:firstLine="640" w:firstLineChars="200"/>
        <w:rPr>
          <w:rFonts w:cs="宋体" w:asciiTheme="minorEastAsia" w:hAnsiTheme="minorEastAsia"/>
          <w:kern w:val="0"/>
          <w:sz w:val="32"/>
          <w:szCs w:val="32"/>
        </w:rPr>
      </w:pPr>
      <w:r>
        <w:rPr>
          <w:rFonts w:hint="eastAsia" w:cs="宋体" w:asciiTheme="minorEastAsia" w:hAnsiTheme="minorEastAsia"/>
          <w:kern w:val="0"/>
          <w:sz w:val="32"/>
          <w:szCs w:val="32"/>
        </w:rPr>
        <w:t>中国建设银行股份有限公司重庆市分行（以下简称建行重庆市分行）作为总行直属一级分行，成立于</w:t>
      </w:r>
      <w:r>
        <w:rPr>
          <w:rFonts w:cs="宋体" w:asciiTheme="minorEastAsia" w:hAnsiTheme="minorEastAsia"/>
          <w:kern w:val="0"/>
          <w:sz w:val="32"/>
          <w:szCs w:val="32"/>
        </w:rPr>
        <w:t>1954</w:t>
      </w:r>
      <w:r>
        <w:rPr>
          <w:rFonts w:hint="eastAsia" w:cs="宋体" w:asciiTheme="minorEastAsia" w:hAnsiTheme="minorEastAsia"/>
          <w:kern w:val="0"/>
          <w:sz w:val="32"/>
          <w:szCs w:val="32"/>
        </w:rPr>
        <w:t>年</w:t>
      </w:r>
      <w:r>
        <w:rPr>
          <w:rFonts w:cs="宋体" w:asciiTheme="minorEastAsia" w:hAnsiTheme="minorEastAsia"/>
          <w:kern w:val="0"/>
          <w:sz w:val="32"/>
          <w:szCs w:val="32"/>
        </w:rPr>
        <w:t>10</w:t>
      </w:r>
      <w:r>
        <w:rPr>
          <w:rFonts w:hint="eastAsia" w:cs="宋体" w:asciiTheme="minorEastAsia" w:hAnsiTheme="minorEastAsia"/>
          <w:kern w:val="0"/>
          <w:sz w:val="32"/>
          <w:szCs w:val="32"/>
        </w:rPr>
        <w:t>月</w:t>
      </w:r>
      <w:r>
        <w:rPr>
          <w:rFonts w:cs="宋体" w:asciiTheme="minorEastAsia" w:hAnsiTheme="minorEastAsia"/>
          <w:kern w:val="0"/>
          <w:sz w:val="32"/>
          <w:szCs w:val="32"/>
        </w:rPr>
        <w:t>1</w:t>
      </w:r>
      <w:r>
        <w:rPr>
          <w:rFonts w:hint="eastAsia" w:cs="宋体" w:asciiTheme="minorEastAsia" w:hAnsiTheme="minorEastAsia"/>
          <w:kern w:val="0"/>
          <w:sz w:val="32"/>
          <w:szCs w:val="32"/>
        </w:rPr>
        <w:t>日，通过</w:t>
      </w:r>
      <w:r>
        <w:rPr>
          <w:rFonts w:cs="宋体" w:asciiTheme="minorEastAsia" w:hAnsiTheme="minorEastAsia"/>
          <w:kern w:val="0"/>
          <w:sz w:val="32"/>
          <w:szCs w:val="32"/>
        </w:rPr>
        <w:t>60</w:t>
      </w:r>
      <w:r>
        <w:rPr>
          <w:rFonts w:hint="eastAsia" w:cs="宋体" w:asciiTheme="minorEastAsia" w:hAnsiTheme="minorEastAsia"/>
          <w:kern w:val="0"/>
          <w:sz w:val="32"/>
          <w:szCs w:val="32"/>
        </w:rPr>
        <w:t>几年的艰苦创业，建行重庆市分行目前已发展成为拥有</w:t>
      </w:r>
      <w:r>
        <w:rPr>
          <w:rFonts w:cs="宋体" w:asciiTheme="minorEastAsia" w:hAnsiTheme="minorEastAsia"/>
          <w:kern w:val="0"/>
          <w:sz w:val="32"/>
          <w:szCs w:val="32"/>
        </w:rPr>
        <w:t>35</w:t>
      </w:r>
      <w:r>
        <w:rPr>
          <w:rFonts w:hint="eastAsia" w:cs="宋体" w:asciiTheme="minorEastAsia" w:hAnsiTheme="minorEastAsia"/>
          <w:kern w:val="0"/>
          <w:sz w:val="32"/>
          <w:szCs w:val="32"/>
        </w:rPr>
        <w:t>家分支行，</w:t>
      </w:r>
      <w:r>
        <w:rPr>
          <w:rFonts w:cs="宋体" w:asciiTheme="minorEastAsia" w:hAnsiTheme="minorEastAsia"/>
          <w:kern w:val="0"/>
          <w:sz w:val="32"/>
          <w:szCs w:val="32"/>
        </w:rPr>
        <w:t>28</w:t>
      </w:r>
      <w:r>
        <w:rPr>
          <w:rFonts w:hint="eastAsia" w:cs="宋体" w:asciiTheme="minorEastAsia" w:hAnsiTheme="minorEastAsia"/>
          <w:kern w:val="0"/>
          <w:sz w:val="32"/>
          <w:szCs w:val="32"/>
        </w:rPr>
        <w:t>4个营业网点，</w:t>
      </w:r>
      <w:r>
        <w:rPr>
          <w:rFonts w:cs="宋体" w:asciiTheme="minorEastAsia" w:hAnsiTheme="minorEastAsia"/>
          <w:kern w:val="0"/>
          <w:sz w:val="32"/>
          <w:szCs w:val="32"/>
        </w:rPr>
        <w:t>5</w:t>
      </w:r>
      <w:r>
        <w:rPr>
          <w:rFonts w:hint="eastAsia" w:cs="宋体" w:asciiTheme="minorEastAsia" w:hAnsiTheme="minorEastAsia"/>
          <w:kern w:val="0"/>
          <w:sz w:val="32"/>
          <w:szCs w:val="32"/>
        </w:rPr>
        <w:t>4</w:t>
      </w:r>
      <w:r>
        <w:rPr>
          <w:rFonts w:cs="宋体" w:asciiTheme="minorEastAsia" w:hAnsiTheme="minorEastAsia"/>
          <w:kern w:val="0"/>
          <w:sz w:val="32"/>
          <w:szCs w:val="32"/>
        </w:rPr>
        <w:t>00</w:t>
      </w:r>
      <w:r>
        <w:rPr>
          <w:rFonts w:hint="eastAsia" w:cs="宋体" w:asciiTheme="minorEastAsia" w:hAnsiTheme="minorEastAsia"/>
          <w:kern w:val="0"/>
          <w:sz w:val="32"/>
          <w:szCs w:val="32"/>
        </w:rPr>
        <w:t>多名员工的大型金融机构。</w:t>
      </w:r>
    </w:p>
    <w:p>
      <w:pPr>
        <w:ind w:firstLine="640" w:firstLineChars="200"/>
        <w:rPr>
          <w:rFonts w:cs="宋体" w:asciiTheme="minorEastAsia" w:hAnsiTheme="minorEastAsia"/>
          <w:kern w:val="0"/>
          <w:sz w:val="32"/>
          <w:szCs w:val="32"/>
        </w:rPr>
      </w:pPr>
      <w:r>
        <w:rPr>
          <w:rFonts w:hint="eastAsia" w:cs="宋体" w:asciiTheme="minorEastAsia" w:hAnsiTheme="minorEastAsia"/>
          <w:kern w:val="0"/>
          <w:sz w:val="32"/>
          <w:szCs w:val="32"/>
        </w:rPr>
        <w:t>建行重庆市分行是建行优先发展的中心城市行，业务范围主是要提供公司银行业务、个人银行业务和投资银行业务等银行产品与服务；客户范围包括机构客户、企业客户和个人客户等，</w:t>
      </w:r>
      <w:r>
        <w:rPr>
          <w:rFonts w:cs="宋体" w:asciiTheme="minorEastAsia" w:hAnsiTheme="minorEastAsia"/>
          <w:kern w:val="0"/>
          <w:sz w:val="32"/>
          <w:szCs w:val="32"/>
        </w:rPr>
        <w:t>201</w:t>
      </w:r>
      <w:r>
        <w:rPr>
          <w:rFonts w:hint="eastAsia" w:cs="宋体" w:asciiTheme="minorEastAsia" w:hAnsiTheme="minorEastAsia"/>
          <w:kern w:val="0"/>
          <w:sz w:val="32"/>
          <w:szCs w:val="32"/>
        </w:rPr>
        <w:t>7年末，重庆市分行存贷款新增、贷款质量、人均集约度等多项指标在当地市场名列前茅。</w:t>
      </w:r>
    </w:p>
    <w:p>
      <w:pPr>
        <w:pStyle w:val="5"/>
        <w:numPr>
          <w:ilvl w:val="0"/>
          <w:numId w:val="1"/>
        </w:numPr>
        <w:spacing w:line="360" w:lineRule="auto"/>
        <w:rPr>
          <w:rFonts w:asciiTheme="minorEastAsia" w:hAnsiTheme="minorEastAsia" w:eastAsiaTheme="minorEastAsia"/>
          <w:b/>
          <w:sz w:val="32"/>
          <w:szCs w:val="32"/>
        </w:rPr>
      </w:pPr>
      <w:r>
        <w:rPr>
          <w:rFonts w:hint="eastAsia" w:asciiTheme="minorEastAsia" w:hAnsiTheme="minorEastAsia" w:eastAsiaTheme="minorEastAsia"/>
          <w:b/>
          <w:sz w:val="32"/>
          <w:szCs w:val="32"/>
        </w:rPr>
        <w:t>招聘机构及人数</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中国建设银行重庆市分行本部及下属分支行，招聘220人。</w:t>
      </w:r>
    </w:p>
    <w:p>
      <w:pPr>
        <w:pStyle w:val="5"/>
        <w:spacing w:line="360" w:lineRule="auto"/>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三、招聘岗位及说明</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1.科技类专项人才。主要招收计算机、信息工程、通信工程等专业学生，主要从事技术研发、大数据挖掘分析、大数据营销等相关工作。</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b/>
          <w:sz w:val="32"/>
          <w:szCs w:val="32"/>
        </w:rPr>
        <w:t>管理培训生</w:t>
      </w:r>
      <w:r>
        <w:rPr>
          <w:rFonts w:hint="eastAsia" w:asciiTheme="minorEastAsia" w:hAnsiTheme="minorEastAsia" w:eastAsiaTheme="minorEastAsia"/>
          <w:sz w:val="32"/>
          <w:szCs w:val="32"/>
        </w:rPr>
        <w:t>。为一级分行、二级分支行部门及网点负责人岗位储备的潜在管理人才。管培生应毕业于国内外知名院校，并通过大学英语六级（425分以上）或同等水平的英语能力考试。</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w:t>
      </w:r>
      <w:r>
        <w:rPr>
          <w:rFonts w:hint="eastAsia" w:asciiTheme="minorEastAsia" w:hAnsiTheme="minorEastAsia" w:eastAsiaTheme="minorEastAsia"/>
          <w:b/>
          <w:sz w:val="32"/>
          <w:szCs w:val="32"/>
        </w:rPr>
        <w:t>营销服务类岗位。</w:t>
      </w:r>
      <w:r>
        <w:rPr>
          <w:rFonts w:hint="eastAsia" w:asciiTheme="minorEastAsia" w:hAnsiTheme="minorEastAsia" w:eastAsiaTheme="minorEastAsia"/>
          <w:sz w:val="32"/>
          <w:szCs w:val="32"/>
        </w:rPr>
        <w:t>一般从事客户服务、柜面服务及业务营销等工作。</w:t>
      </w:r>
    </w:p>
    <w:p>
      <w:pPr>
        <w:pStyle w:val="5"/>
        <w:spacing w:line="360" w:lineRule="auto"/>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根据人才成长规律，着眼于员工长远发展，以上所有岗位录用人员均须在我行基层机构工作两年以上。</w:t>
      </w:r>
    </w:p>
    <w:p>
      <w:pPr>
        <w:pStyle w:val="5"/>
        <w:spacing w:line="360" w:lineRule="auto"/>
        <w:ind w:firstLine="643" w:firstLineChars="200"/>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四、招聘流程</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1.简历投递：9月13-10月17日</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2.校园见面会：9月18-10月17日</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3.笔试：11月上旬</w:t>
      </w:r>
    </w:p>
    <w:p>
      <w:pPr>
        <w:pStyle w:val="5"/>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4.面试/体检：12月初</w:t>
      </w:r>
    </w:p>
    <w:p>
      <w:pPr>
        <w:pStyle w:val="5"/>
        <w:spacing w:line="360" w:lineRule="auto"/>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五、校园见面会时间安排</w:t>
      </w:r>
    </w:p>
    <w:tbl>
      <w:tblPr>
        <w:tblStyle w:val="8"/>
        <w:tblpPr w:leftFromText="180" w:rightFromText="180" w:vertAnchor="text" w:horzAnchor="margin" w:tblpXSpec="center" w:tblpY="225"/>
        <w:tblW w:w="7000" w:type="dxa"/>
        <w:tblInd w:w="0" w:type="dxa"/>
        <w:tblLayout w:type="fixed"/>
        <w:tblCellMar>
          <w:top w:w="0" w:type="dxa"/>
          <w:left w:w="108" w:type="dxa"/>
          <w:bottom w:w="0" w:type="dxa"/>
          <w:right w:w="108" w:type="dxa"/>
        </w:tblCellMar>
      </w:tblPr>
      <w:tblGrid>
        <w:gridCol w:w="920"/>
        <w:gridCol w:w="1580"/>
        <w:gridCol w:w="2420"/>
        <w:gridCol w:w="2080"/>
      </w:tblGrid>
      <w:tr>
        <w:tblPrEx>
          <w:tblLayout w:type="fixed"/>
          <w:tblCellMar>
            <w:top w:w="0" w:type="dxa"/>
            <w:left w:w="108" w:type="dxa"/>
            <w:bottom w:w="0" w:type="dxa"/>
            <w:right w:w="108" w:type="dxa"/>
          </w:tblCellMar>
        </w:tblPrEx>
        <w:trPr>
          <w:trHeight w:val="480" w:hRule="atLeast"/>
        </w:trPr>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序号</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见面会城市</w:t>
            </w:r>
          </w:p>
        </w:tc>
        <w:tc>
          <w:tcPr>
            <w:tcW w:w="2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统一见面时间</w:t>
            </w:r>
          </w:p>
        </w:tc>
        <w:tc>
          <w:tcPr>
            <w:tcW w:w="2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见面地点</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成都</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9月18日10点（周二）</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西南财经大学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武汉</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9月19日9点（周三）</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中南财经政法大学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武汉</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9月20日9点（周四）</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武汉大学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武汉</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9月21日9点（周五）</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华中科技大学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天津</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9月27日10点（周四）</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南开大学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西安</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9月28日9点（周五）</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西安交通大学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成都</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10月8日14点（周二）</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电子科技大学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成都</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10月8日14点（周二）</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四川大学</w:t>
            </w:r>
          </w:p>
        </w:tc>
      </w:tr>
      <w:tr>
        <w:tblPrEx>
          <w:tblLayout w:type="fixed"/>
          <w:tblCellMar>
            <w:top w:w="0" w:type="dxa"/>
            <w:left w:w="108" w:type="dxa"/>
            <w:bottom w:w="0" w:type="dxa"/>
            <w:right w:w="108" w:type="dxa"/>
          </w:tblCellMar>
        </w:tblPrEx>
        <w:trPr>
          <w:trHeight w:val="132" w:hRule="atLeast"/>
        </w:trPr>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北京</w:t>
            </w:r>
          </w:p>
        </w:tc>
        <w:tc>
          <w:tcPr>
            <w:tcW w:w="2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10月10日（周三）</w:t>
            </w:r>
          </w:p>
        </w:tc>
        <w:tc>
          <w:tcPr>
            <w:tcW w:w="2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中国人民大学</w:t>
            </w:r>
          </w:p>
        </w:tc>
      </w:tr>
      <w:tr>
        <w:tblPrEx>
          <w:tblLayout w:type="fixed"/>
          <w:tblCellMar>
            <w:top w:w="0" w:type="dxa"/>
            <w:left w:w="108" w:type="dxa"/>
            <w:bottom w:w="0" w:type="dxa"/>
            <w:right w:w="108" w:type="dxa"/>
          </w:tblCellMar>
        </w:tblPrEx>
        <w:trPr>
          <w:trHeight w:val="131" w:hRule="atLeast"/>
        </w:trPr>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北京</w:t>
            </w:r>
          </w:p>
        </w:tc>
        <w:tc>
          <w:tcPr>
            <w:tcW w:w="24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10月11日（周四）</w:t>
            </w:r>
          </w:p>
        </w:tc>
        <w:tc>
          <w:tcPr>
            <w:tcW w:w="2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北京邮电大学</w:t>
            </w:r>
          </w:p>
        </w:tc>
      </w:tr>
      <w:tr>
        <w:tblPrEx>
          <w:tblLayout w:type="fixed"/>
          <w:tblCellMar>
            <w:top w:w="0" w:type="dxa"/>
            <w:left w:w="108" w:type="dxa"/>
            <w:bottom w:w="0" w:type="dxa"/>
            <w:right w:w="108" w:type="dxa"/>
          </w:tblCellMar>
        </w:tblPrEx>
        <w:trPr>
          <w:trHeight w:val="270" w:hRule="atLeast"/>
        </w:trPr>
        <w:tc>
          <w:tcPr>
            <w:tcW w:w="9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重庆</w:t>
            </w:r>
          </w:p>
        </w:tc>
        <w:tc>
          <w:tcPr>
            <w:tcW w:w="2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待定</w:t>
            </w:r>
          </w:p>
        </w:tc>
        <w:tc>
          <w:tcPr>
            <w:tcW w:w="2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待定</w:t>
            </w:r>
          </w:p>
        </w:tc>
      </w:tr>
    </w:tbl>
    <w:p>
      <w:pPr>
        <w:autoSpaceDE w:val="0"/>
        <w:autoSpaceDN w:val="0"/>
        <w:adjustRightInd w:val="0"/>
        <w:jc w:val="left"/>
        <w:rPr>
          <w:rFonts w:cs="宋体" w:asciiTheme="minorEastAsia" w:hAnsiTheme="minorEastAsia"/>
          <w:kern w:val="0"/>
          <w:sz w:val="32"/>
          <w:szCs w:val="32"/>
        </w:rPr>
      </w:pPr>
      <w:r>
        <w:rPr>
          <w:rFonts w:ascii="宋体" w:eastAsia="宋体" w:cs="宋体"/>
          <w:color w:val="000000"/>
          <w:kern w:val="0"/>
          <w:sz w:val="22"/>
        </w:rPr>
        <w:t xml:space="preserve">  </w:t>
      </w:r>
      <w:r>
        <w:rPr>
          <w:rFonts w:cs="宋体" w:asciiTheme="minorEastAsia" w:hAnsiTheme="minorEastAsia"/>
          <w:kern w:val="0"/>
          <w:sz w:val="32"/>
          <w:szCs w:val="32"/>
        </w:rPr>
        <w:t xml:space="preserve"> </w:t>
      </w:r>
      <w:r>
        <w:rPr>
          <w:rFonts w:hint="eastAsia" w:cs="宋体" w:asciiTheme="minorEastAsia" w:hAnsiTheme="minorEastAsia"/>
          <w:kern w:val="0"/>
          <w:sz w:val="32"/>
          <w:szCs w:val="32"/>
        </w:rPr>
        <w:t xml:space="preserve">   </w:t>
      </w:r>
    </w:p>
    <w:p>
      <w:pPr>
        <w:autoSpaceDE w:val="0"/>
        <w:autoSpaceDN w:val="0"/>
        <w:adjustRightInd w:val="0"/>
        <w:jc w:val="left"/>
        <w:rPr>
          <w:rFonts w:cs="宋体" w:asciiTheme="minorEastAsia" w:hAnsiTheme="minorEastAsia"/>
          <w:kern w:val="0"/>
          <w:sz w:val="32"/>
          <w:szCs w:val="32"/>
        </w:rPr>
      </w:pPr>
    </w:p>
    <w:p>
      <w:pPr>
        <w:pStyle w:val="5"/>
        <w:spacing w:line="360" w:lineRule="auto"/>
        <w:ind w:firstLine="723" w:firstLineChars="225"/>
        <w:rPr>
          <w:rFonts w:asciiTheme="minorEastAsia" w:hAnsiTheme="minorEastAsia" w:eastAsiaTheme="minorEastAsia"/>
          <w:b/>
          <w:sz w:val="32"/>
          <w:szCs w:val="32"/>
        </w:rPr>
      </w:pPr>
      <w:r>
        <w:rPr>
          <w:rFonts w:hint="eastAsia" w:asciiTheme="minorEastAsia" w:hAnsiTheme="minorEastAsia" w:eastAsiaTheme="minorEastAsia"/>
          <w:b/>
          <w:sz w:val="32"/>
          <w:szCs w:val="32"/>
        </w:rPr>
        <w:t>六、报名渠道</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b/>
          <w:sz w:val="32"/>
          <w:szCs w:val="32"/>
        </w:rPr>
        <w:t>登陆</w:t>
      </w:r>
      <w:r>
        <w:fldChar w:fldCharType="begin"/>
      </w:r>
      <w:r>
        <w:instrText xml:space="preserve"> HYPERLINK "http://www.job.ccb.com" </w:instrText>
      </w:r>
      <w:r>
        <w:fldChar w:fldCharType="separate"/>
      </w:r>
      <w:r>
        <w:rPr>
          <w:rStyle w:val="7"/>
          <w:rFonts w:hint="eastAsia" w:asciiTheme="minorEastAsia" w:hAnsiTheme="minorEastAsia" w:eastAsiaTheme="minorEastAsia"/>
          <w:b/>
          <w:sz w:val="32"/>
          <w:szCs w:val="32"/>
        </w:rPr>
        <w:t>www.job.ccb.com</w:t>
      </w:r>
      <w:r>
        <w:rPr>
          <w:rStyle w:val="7"/>
          <w:rFonts w:hint="eastAsia" w:asciiTheme="minorEastAsia" w:hAnsiTheme="minorEastAsia" w:eastAsiaTheme="minorEastAsia"/>
          <w:b/>
          <w:sz w:val="32"/>
          <w:szCs w:val="32"/>
        </w:rPr>
        <w:fldChar w:fldCharType="end"/>
      </w:r>
      <w:r>
        <w:rPr>
          <w:rFonts w:hint="eastAsia" w:asciiTheme="minorEastAsia" w:hAnsiTheme="minorEastAsia" w:eastAsiaTheme="minorEastAsia"/>
          <w:b/>
          <w:sz w:val="32"/>
          <w:szCs w:val="32"/>
        </w:rPr>
        <w:t>建行官方招聘网址进行报名；</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2.通过我行发布的招聘推文中</w:t>
      </w:r>
      <w:r>
        <w:rPr>
          <w:rFonts w:hint="eastAsia" w:asciiTheme="minorEastAsia" w:hAnsiTheme="minorEastAsia" w:eastAsiaTheme="minorEastAsia"/>
          <w:b/>
          <w:sz w:val="32"/>
          <w:szCs w:val="32"/>
        </w:rPr>
        <w:t>“预报名”通道</w:t>
      </w:r>
      <w:r>
        <w:rPr>
          <w:rFonts w:hint="eastAsia" w:asciiTheme="minorEastAsia" w:hAnsiTheme="minorEastAsia" w:eastAsiaTheme="minorEastAsia"/>
          <w:sz w:val="32"/>
          <w:szCs w:val="32"/>
        </w:rPr>
        <w:t xml:space="preserve">进行预报名，预报名后还需通过官网正式报名。 </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3.欢迎扫描二维码关注“中国建设银行人才招聘”微信公众号了解更多详情。</w:t>
      </w:r>
    </w:p>
    <w:p>
      <w:pPr>
        <w:pStyle w:val="5"/>
        <w:spacing w:line="360" w:lineRule="auto"/>
        <w:ind w:firstLine="720" w:firstLineChars="225"/>
        <w:jc w:val="center"/>
        <w:rPr>
          <w:rFonts w:asciiTheme="minorEastAsia" w:hAnsiTheme="minorEastAsia" w:eastAsiaTheme="minorEastAsia"/>
          <w:sz w:val="32"/>
          <w:szCs w:val="32"/>
        </w:rPr>
      </w:pPr>
      <w:r>
        <w:rPr>
          <w:rFonts w:asciiTheme="minorEastAsia" w:hAnsiTheme="minorEastAsia" w:eastAsiaTheme="minorEastAsia"/>
          <w:sz w:val="32"/>
          <w:szCs w:val="32"/>
        </w:rPr>
        <w:drawing>
          <wp:inline distT="0" distB="0" distL="0" distR="0">
            <wp:extent cx="1339850" cy="1339850"/>
            <wp:effectExtent l="0" t="0" r="0" b="0"/>
            <wp:docPr id="1" name="图片 1" descr="C:\Users\Administrator\Desktop\09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0917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39850" cy="1339850"/>
                    </a:xfrm>
                    <a:prstGeom prst="rect">
                      <a:avLst/>
                    </a:prstGeom>
                    <a:noFill/>
                    <a:ln>
                      <a:noFill/>
                    </a:ln>
                  </pic:spPr>
                </pic:pic>
              </a:graphicData>
            </a:graphic>
          </wp:inline>
        </w:drawing>
      </w:r>
    </w:p>
    <w:p>
      <w:pPr>
        <w:pStyle w:val="5"/>
        <w:spacing w:line="360" w:lineRule="auto"/>
        <w:ind w:firstLine="643" w:firstLineChars="200"/>
        <w:rPr>
          <w:rFonts w:asciiTheme="minorEastAsia" w:hAnsiTheme="minorEastAsia" w:eastAsiaTheme="minorEastAsia"/>
          <w:sz w:val="32"/>
          <w:szCs w:val="32"/>
        </w:rPr>
      </w:pPr>
      <w:r>
        <w:rPr>
          <w:rFonts w:hint="eastAsia" w:asciiTheme="minorEastAsia" w:hAnsiTheme="minorEastAsia" w:eastAsiaTheme="minorEastAsia"/>
          <w:b/>
          <w:sz w:val="32"/>
          <w:szCs w:val="32"/>
        </w:rPr>
        <w:t>七、相关说明</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（一）招聘期间，我行将通过网站招聘系统提示、电子邮件等方式与应聘者联系，请保持通信畅通。</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（二）中国建设银行有权根据岗位需求变化及报名情况等因素，调整、取消或终止个别岗位的招聘工作，并对本次招聘享有最终解释权。</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三）为践行大行责任，关爱贫困大学生群体，建设银行校园招聘招录过程中在同等条件下优先照顾贫困大学生。贫困大学生应符合以下认定标准之一：1.纳入生源地扶贫办登记在册的贫困家庭名单；2.纳入高等院校贫困生库；3.获得贫困大学生国家励志奖（助）学金；4.生源户籍为国家级贫困县的农村户籍。</w:t>
      </w:r>
    </w:p>
    <w:p>
      <w:pPr>
        <w:pStyle w:val="5"/>
        <w:spacing w:line="360" w:lineRule="auto"/>
        <w:ind w:firstLine="723" w:firstLineChars="225"/>
        <w:rPr>
          <w:rFonts w:asciiTheme="minorEastAsia" w:hAnsiTheme="minorEastAsia" w:eastAsiaTheme="minorEastAsia"/>
          <w:b/>
          <w:sz w:val="32"/>
          <w:szCs w:val="32"/>
        </w:rPr>
      </w:pPr>
      <w:r>
        <w:rPr>
          <w:rFonts w:hint="eastAsia" w:asciiTheme="minorEastAsia" w:hAnsiTheme="minorEastAsia" w:eastAsiaTheme="minorEastAsia"/>
          <w:b/>
          <w:sz w:val="32"/>
          <w:szCs w:val="32"/>
        </w:rPr>
        <w:t>八、联系方式</w:t>
      </w:r>
    </w:p>
    <w:p>
      <w:pPr>
        <w:pStyle w:val="5"/>
        <w:spacing w:line="360" w:lineRule="auto"/>
        <w:ind w:firstLine="720" w:firstLineChars="225"/>
        <w:rPr>
          <w:rFonts w:asciiTheme="minorEastAsia" w:hAnsiTheme="minorEastAsia" w:eastAsiaTheme="minorEastAsia"/>
          <w:sz w:val="32"/>
          <w:szCs w:val="32"/>
        </w:rPr>
      </w:pPr>
      <w:r>
        <w:rPr>
          <w:rFonts w:hint="eastAsia" w:asciiTheme="minorEastAsia" w:hAnsiTheme="minorEastAsia" w:eastAsiaTheme="minorEastAsia"/>
          <w:sz w:val="32"/>
          <w:szCs w:val="32"/>
        </w:rPr>
        <w:t>电子邮箱：zhaopin.cq@ccb.com</w:t>
      </w:r>
    </w:p>
    <w:p>
      <w:pPr>
        <w:pStyle w:val="5"/>
        <w:spacing w:line="360" w:lineRule="auto"/>
        <w:ind w:firstLine="630" w:firstLineChars="225"/>
        <w:rPr>
          <w:sz w:val="28"/>
        </w:rPr>
      </w:pPr>
    </w:p>
    <w:p>
      <w:pPr>
        <w:pStyle w:val="5"/>
        <w:spacing w:line="560" w:lineRule="exact"/>
        <w:ind w:firstLine="630" w:firstLineChars="225"/>
        <w:jc w:val="right"/>
        <w:rPr>
          <w:sz w:val="28"/>
        </w:rPr>
      </w:pPr>
    </w:p>
    <w:p>
      <w:pPr>
        <w:pStyle w:val="5"/>
        <w:spacing w:line="360" w:lineRule="auto"/>
        <w:ind w:firstLine="720" w:firstLineChars="225"/>
        <w:jc w:val="right"/>
        <w:rPr>
          <w:sz w:val="32"/>
          <w:szCs w:val="32"/>
        </w:rPr>
      </w:pPr>
      <w:r>
        <w:rPr>
          <w:rFonts w:hint="eastAsia"/>
          <w:sz w:val="32"/>
          <w:szCs w:val="32"/>
        </w:rPr>
        <w:t>中国建设银行股份有限公司重庆市分行</w:t>
      </w:r>
    </w:p>
    <w:p>
      <w:pPr>
        <w:pStyle w:val="5"/>
        <w:spacing w:line="360" w:lineRule="auto"/>
        <w:ind w:firstLine="720" w:firstLineChars="225"/>
        <w:jc w:val="right"/>
        <w:rPr>
          <w:sz w:val="32"/>
          <w:szCs w:val="32"/>
        </w:rPr>
      </w:pPr>
      <w:r>
        <w:rPr>
          <w:rFonts w:hint="eastAsia"/>
          <w:sz w:val="32"/>
          <w:szCs w:val="32"/>
        </w:rPr>
        <w:t>2018年9月13日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彩虹小标宋">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B42AC"/>
    <w:multiLevelType w:val="multilevel"/>
    <w:tmpl w:val="4EEB42AC"/>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19A"/>
    <w:rsid w:val="0001528C"/>
    <w:rsid w:val="00015B7C"/>
    <w:rsid w:val="0009523E"/>
    <w:rsid w:val="000A5F88"/>
    <w:rsid w:val="000B4E00"/>
    <w:rsid w:val="000B71EE"/>
    <w:rsid w:val="000F0469"/>
    <w:rsid w:val="000F490A"/>
    <w:rsid w:val="0012152B"/>
    <w:rsid w:val="001253F5"/>
    <w:rsid w:val="00132EA7"/>
    <w:rsid w:val="00141734"/>
    <w:rsid w:val="001437C9"/>
    <w:rsid w:val="001459A9"/>
    <w:rsid w:val="00154826"/>
    <w:rsid w:val="001711C5"/>
    <w:rsid w:val="001959B7"/>
    <w:rsid w:val="001A11D9"/>
    <w:rsid w:val="001A1C26"/>
    <w:rsid w:val="001A40C4"/>
    <w:rsid w:val="001A55B5"/>
    <w:rsid w:val="001A6871"/>
    <w:rsid w:val="001D1461"/>
    <w:rsid w:val="001E53EC"/>
    <w:rsid w:val="00200F90"/>
    <w:rsid w:val="00227F4E"/>
    <w:rsid w:val="002350AC"/>
    <w:rsid w:val="00251F4C"/>
    <w:rsid w:val="00271350"/>
    <w:rsid w:val="00292423"/>
    <w:rsid w:val="002A0D86"/>
    <w:rsid w:val="002A52C5"/>
    <w:rsid w:val="002C4412"/>
    <w:rsid w:val="003B04F9"/>
    <w:rsid w:val="003C6542"/>
    <w:rsid w:val="003C6826"/>
    <w:rsid w:val="003D44D1"/>
    <w:rsid w:val="00400C88"/>
    <w:rsid w:val="00411DBD"/>
    <w:rsid w:val="004155E8"/>
    <w:rsid w:val="00434755"/>
    <w:rsid w:val="00437379"/>
    <w:rsid w:val="00475D25"/>
    <w:rsid w:val="004775A2"/>
    <w:rsid w:val="004A500C"/>
    <w:rsid w:val="004C0DD1"/>
    <w:rsid w:val="004E6E9E"/>
    <w:rsid w:val="00502A5C"/>
    <w:rsid w:val="00507DE1"/>
    <w:rsid w:val="005404D0"/>
    <w:rsid w:val="0054426A"/>
    <w:rsid w:val="00562F45"/>
    <w:rsid w:val="00563E5E"/>
    <w:rsid w:val="0059479C"/>
    <w:rsid w:val="005973C4"/>
    <w:rsid w:val="005A36CC"/>
    <w:rsid w:val="005C64B3"/>
    <w:rsid w:val="005D6D90"/>
    <w:rsid w:val="005E46FD"/>
    <w:rsid w:val="00602B7D"/>
    <w:rsid w:val="00622301"/>
    <w:rsid w:val="00636B72"/>
    <w:rsid w:val="00637C57"/>
    <w:rsid w:val="00646914"/>
    <w:rsid w:val="00647F38"/>
    <w:rsid w:val="0065072D"/>
    <w:rsid w:val="00652547"/>
    <w:rsid w:val="006843C6"/>
    <w:rsid w:val="00687791"/>
    <w:rsid w:val="006A5339"/>
    <w:rsid w:val="006B1897"/>
    <w:rsid w:val="007330D5"/>
    <w:rsid w:val="007A0E01"/>
    <w:rsid w:val="007A14B7"/>
    <w:rsid w:val="007D1C0C"/>
    <w:rsid w:val="007D32C3"/>
    <w:rsid w:val="007E2A51"/>
    <w:rsid w:val="008923CE"/>
    <w:rsid w:val="00894D56"/>
    <w:rsid w:val="008A07FE"/>
    <w:rsid w:val="008C145E"/>
    <w:rsid w:val="008D4C96"/>
    <w:rsid w:val="008F3B8E"/>
    <w:rsid w:val="00904319"/>
    <w:rsid w:val="00944EC5"/>
    <w:rsid w:val="00945601"/>
    <w:rsid w:val="00947E5F"/>
    <w:rsid w:val="0096149D"/>
    <w:rsid w:val="00995E00"/>
    <w:rsid w:val="009E31DD"/>
    <w:rsid w:val="009E4266"/>
    <w:rsid w:val="00A04D01"/>
    <w:rsid w:val="00A2487D"/>
    <w:rsid w:val="00A432A1"/>
    <w:rsid w:val="00A83C40"/>
    <w:rsid w:val="00A853C9"/>
    <w:rsid w:val="00A91BAF"/>
    <w:rsid w:val="00AA5F4B"/>
    <w:rsid w:val="00AC7192"/>
    <w:rsid w:val="00AD0D20"/>
    <w:rsid w:val="00B06008"/>
    <w:rsid w:val="00B0719A"/>
    <w:rsid w:val="00B1419B"/>
    <w:rsid w:val="00B31A90"/>
    <w:rsid w:val="00B3642E"/>
    <w:rsid w:val="00B42A25"/>
    <w:rsid w:val="00B52F52"/>
    <w:rsid w:val="00BA19DF"/>
    <w:rsid w:val="00BC50E5"/>
    <w:rsid w:val="00BC611F"/>
    <w:rsid w:val="00BC76B1"/>
    <w:rsid w:val="00BD5300"/>
    <w:rsid w:val="00BD5C8F"/>
    <w:rsid w:val="00BF2B8E"/>
    <w:rsid w:val="00C1063A"/>
    <w:rsid w:val="00C1161E"/>
    <w:rsid w:val="00C52C04"/>
    <w:rsid w:val="00C85FC6"/>
    <w:rsid w:val="00C93313"/>
    <w:rsid w:val="00CE0F8E"/>
    <w:rsid w:val="00D17FED"/>
    <w:rsid w:val="00D21C8C"/>
    <w:rsid w:val="00D26018"/>
    <w:rsid w:val="00D452EF"/>
    <w:rsid w:val="00D5481D"/>
    <w:rsid w:val="00D93975"/>
    <w:rsid w:val="00DA0A02"/>
    <w:rsid w:val="00DB2EC9"/>
    <w:rsid w:val="00DC6AED"/>
    <w:rsid w:val="00E3451B"/>
    <w:rsid w:val="00E42194"/>
    <w:rsid w:val="00E57371"/>
    <w:rsid w:val="00E73F11"/>
    <w:rsid w:val="00E84FB4"/>
    <w:rsid w:val="00E86587"/>
    <w:rsid w:val="00E912FE"/>
    <w:rsid w:val="00EB2513"/>
    <w:rsid w:val="00EC48A3"/>
    <w:rsid w:val="00EE6D39"/>
    <w:rsid w:val="00F15D4A"/>
    <w:rsid w:val="00F17CE7"/>
    <w:rsid w:val="00F32D87"/>
    <w:rsid w:val="00F35348"/>
    <w:rsid w:val="00F5448D"/>
    <w:rsid w:val="00F74916"/>
    <w:rsid w:val="00FA3D4B"/>
    <w:rsid w:val="00FE6C62"/>
    <w:rsid w:val="00FE7EEE"/>
    <w:rsid w:val="08E6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jc w:val="left"/>
    </w:pPr>
    <w:rPr>
      <w:rFonts w:ascii="宋体" w:hAnsi="宋体" w:eastAsia="宋体" w:cs="宋体"/>
      <w:kern w:val="0"/>
      <w:sz w:val="24"/>
      <w:szCs w:val="24"/>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9">
    <w:name w:val="页眉 Char"/>
    <w:basedOn w:val="6"/>
    <w:link w:val="4"/>
    <w:uiPriority w:val="99"/>
    <w:rPr>
      <w:sz w:val="18"/>
      <w:szCs w:val="18"/>
    </w:rPr>
  </w:style>
  <w:style w:type="character" w:customStyle="1" w:styleId="10">
    <w:name w:val="页脚 Char"/>
    <w:basedOn w:val="6"/>
    <w:link w:val="3"/>
    <w:uiPriority w:val="99"/>
    <w:rPr>
      <w:sz w:val="18"/>
      <w:szCs w:val="18"/>
    </w:rPr>
  </w:style>
  <w:style w:type="character" w:customStyle="1" w:styleId="11">
    <w:name w:val="批注框文本 Char"/>
    <w:basedOn w:val="6"/>
    <w:link w:val="2"/>
    <w:semiHidden/>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252</Words>
  <Characters>1437</Characters>
  <Lines>11</Lines>
  <Paragraphs>3</Paragraphs>
  <TotalTime>63</TotalTime>
  <ScaleCrop>false</ScaleCrop>
  <LinksUpToDate>false</LinksUpToDate>
  <CharactersWithSpaces>1686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2018-09-17T00:52:00Z</dcterms:created>
  <dc:creator>杨洁</dc:creator>
  <cp:lastModifiedBy>魏彦伟</cp:lastModifiedBy>
  <dcterms:modified xsi:type="dcterms:W3CDTF">2018-10-08T02:32:13Z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